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4F28D5" w:rsidP="00CF1133">
      <w:pPr>
        <w:ind w:left="-710" w:firstLine="695"/>
        <w:rPr>
          <w:b/>
          <w:bCs/>
        </w:rPr>
      </w:pPr>
      <w:r>
        <w:rPr>
          <w:b/>
          <w:bCs/>
        </w:rPr>
        <w:t>LEP – Sub Committee</w:t>
      </w:r>
    </w:p>
    <w:p w:rsidR="00BE3AA8" w:rsidRDefault="00F27974" w:rsidP="00CF1133">
      <w:pPr>
        <w:ind w:left="-710" w:firstLine="695"/>
        <w:rPr>
          <w:b/>
          <w:bCs/>
        </w:rPr>
      </w:pPr>
    </w:p>
    <w:p w:rsidR="00BE3AA8" w:rsidRDefault="004F28D5"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F27974" w:rsidP="00CF1133">
      <w:pPr>
        <w:spacing w:after="0" w:line="256" w:lineRule="auto"/>
        <w:ind w:left="0" w:firstLine="0"/>
        <w:rPr>
          <w:b/>
          <w:bCs/>
        </w:rPr>
      </w:pPr>
    </w:p>
    <w:p w:rsidR="00BC4466" w:rsidRPr="00BC4466" w:rsidRDefault="004F28D5" w:rsidP="00CF1133">
      <w:pPr>
        <w:spacing w:after="0" w:line="256" w:lineRule="auto"/>
        <w:ind w:left="0" w:firstLine="0"/>
        <w:rPr>
          <w:b/>
          <w:bCs/>
        </w:rPr>
      </w:pPr>
      <w:r w:rsidRPr="00BC4466">
        <w:rPr>
          <w:b/>
        </w:rPr>
        <w:t xml:space="preserve">Private and Confidential: </w:t>
      </w:r>
      <w:r>
        <w:rPr>
          <w:b/>
        </w:rPr>
        <w:t>No</w:t>
      </w:r>
    </w:p>
    <w:p w:rsidR="00BC4466" w:rsidRDefault="00F27974" w:rsidP="00CF1133">
      <w:pPr>
        <w:spacing w:after="0" w:line="256" w:lineRule="auto"/>
        <w:ind w:left="0" w:firstLine="0"/>
      </w:pPr>
    </w:p>
    <w:p w:rsidR="00A3358A" w:rsidRDefault="004F28D5" w:rsidP="0032092C">
      <w:pPr>
        <w:ind w:left="0" w:firstLine="0"/>
      </w:pPr>
      <w:r w:rsidRPr="0032092C">
        <w:rPr>
          <w:b/>
        </w:rPr>
        <w:t>Date:</w:t>
      </w:r>
      <w:r>
        <w:t xml:space="preserve"> </w:t>
      </w:r>
      <w:r w:rsidR="00F27974">
        <w:fldChar w:fldCharType="begin"/>
      </w:r>
      <w:r w:rsidR="00F27974">
        <w:instrText xml:space="preserve"> DOCPROPERTY  MeetingDate  \* MERGEFORMAT </w:instrText>
      </w:r>
      <w:r w:rsidR="00F27974">
        <w:fldChar w:fldCharType="separate"/>
      </w:r>
      <w:r>
        <w:t>Wednesday, 16 January 2019</w:t>
      </w:r>
      <w:r w:rsidR="00F27974">
        <w:fldChar w:fldCharType="end"/>
      </w:r>
    </w:p>
    <w:p w:rsidR="00A3358A" w:rsidRDefault="00F27974" w:rsidP="00A3358A"/>
    <w:p w:rsidR="00A3358A" w:rsidRDefault="004F28D5"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North Blackburn Funding Application</w:t>
      </w:r>
      <w:r>
        <w:rPr>
          <w:b/>
        </w:rPr>
        <w:fldChar w:fldCharType="end"/>
      </w:r>
    </w:p>
    <w:p w:rsidR="00D7480F" w:rsidRDefault="004F28D5" w:rsidP="00CF1133">
      <w:pPr>
        <w:spacing w:after="0" w:line="256" w:lineRule="auto"/>
        <w:ind w:left="0" w:firstLine="0"/>
      </w:pPr>
      <w:r>
        <w:t>A</w:t>
      </w:r>
      <w:r w:rsidR="00F27974">
        <w:t>ppendix 'A</w:t>
      </w:r>
      <w:r>
        <w:t>' refers</w:t>
      </w:r>
    </w:p>
    <w:p w:rsidR="002471A0" w:rsidRDefault="00F27974" w:rsidP="00CF1133">
      <w:pPr>
        <w:spacing w:after="0" w:line="256" w:lineRule="auto"/>
        <w:ind w:left="0" w:firstLine="0"/>
      </w:pPr>
    </w:p>
    <w:p w:rsidR="00F41096" w:rsidRPr="00F41096" w:rsidRDefault="004F28D5"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rsidR="00CF1133" w:rsidRPr="002B3CC5" w:rsidRDefault="004F28D5"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rsidR="002B3CC5" w:rsidRDefault="00F2797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3150" w:rsidTr="008B5354">
        <w:tc>
          <w:tcPr>
            <w:tcW w:w="9180" w:type="dxa"/>
          </w:tcPr>
          <w:p w:rsidR="002B3CC5" w:rsidRDefault="00F27974" w:rsidP="00487925">
            <w:pPr>
              <w:pStyle w:val="Header"/>
              <w:jc w:val="both"/>
            </w:pPr>
          </w:p>
          <w:p w:rsidR="002B3CC5" w:rsidRPr="002B3CC5" w:rsidRDefault="004F28D5" w:rsidP="00487925">
            <w:pPr>
              <w:pStyle w:val="Heading6"/>
              <w:jc w:val="both"/>
              <w:rPr>
                <w:rFonts w:ascii="Arial" w:hAnsi="Arial"/>
                <w:b/>
                <w:color w:val="auto"/>
              </w:rPr>
            </w:pPr>
            <w:r w:rsidRPr="002B3CC5">
              <w:rPr>
                <w:rFonts w:ascii="Arial" w:hAnsi="Arial"/>
                <w:b/>
                <w:color w:val="auto"/>
              </w:rPr>
              <w:t>Executive Summary</w:t>
            </w:r>
          </w:p>
          <w:p w:rsidR="002B3CC5" w:rsidRPr="002B3CC5" w:rsidRDefault="00F27974" w:rsidP="00487925">
            <w:pPr>
              <w:jc w:val="both"/>
              <w:rPr>
                <w:color w:val="auto"/>
              </w:rPr>
            </w:pPr>
          </w:p>
          <w:p w:rsidR="00B81D45" w:rsidRDefault="004F28D5" w:rsidP="00487925">
            <w:pPr>
              <w:ind w:left="0" w:firstLine="0"/>
              <w:jc w:val="both"/>
            </w:pPr>
            <w:r>
              <w:t>The North Blackburn scheme is one of three infrastructure packages that collectively form the 'Pennine Gateways' project, which aims to support the delivery of new homes, new businesses and jobs in three specific growth areas in Blackburn, whilst at the same time alleviating congestion on key routes.  It comprises various improvement schemes at a number of junctions along the A6119 route to the north of the town to support delivery of 427 new houses across two sites.</w:t>
            </w:r>
          </w:p>
          <w:p w:rsidR="00B81D45" w:rsidRDefault="00F27974" w:rsidP="00487925">
            <w:pPr>
              <w:ind w:left="0" w:firstLine="0"/>
              <w:jc w:val="both"/>
            </w:pPr>
          </w:p>
          <w:p w:rsidR="002B3CC5" w:rsidRPr="002B3CC5" w:rsidRDefault="004F28D5" w:rsidP="00487925">
            <w:pPr>
              <w:ind w:left="0" w:firstLine="0"/>
              <w:jc w:val="both"/>
              <w:rPr>
                <w:color w:val="auto"/>
              </w:rPr>
            </w:pPr>
            <w:r>
              <w:rPr>
                <w:rFonts w:ascii="ArialMT" w:eastAsiaTheme="minorHAnsi" w:hAnsi="ArialMT" w:cs="ArialMT"/>
                <w:color w:val="auto"/>
                <w:lang w:eastAsia="en-US"/>
              </w:rPr>
              <w:t xml:space="preserve">In accordance with the Lancashire Enterprise Partnership's Assurance Framework, Blackburn with </w:t>
            </w:r>
            <w:proofErr w:type="spellStart"/>
            <w:r>
              <w:rPr>
                <w:rFonts w:ascii="ArialMT" w:eastAsiaTheme="minorHAnsi" w:hAnsi="ArialMT" w:cs="ArialMT"/>
                <w:color w:val="auto"/>
                <w:lang w:eastAsia="en-US"/>
              </w:rPr>
              <w:t>Darwen</w:t>
            </w:r>
            <w:proofErr w:type="spellEnd"/>
            <w:r>
              <w:rPr>
                <w:rFonts w:ascii="ArialMT" w:eastAsiaTheme="minorHAnsi" w:hAnsi="ArialMT" w:cs="ArialMT"/>
                <w:color w:val="auto"/>
                <w:lang w:eastAsia="en-US"/>
              </w:rPr>
              <w:t xml:space="preserve"> Council has submitted a strategic outline business case for funding approval.  The consultants Jacobs have undertaken an independent assessment of the strategic outline business case on behalf of the Lancashire Enterprise Partnership.  Jacobs are satisfied that the project has been developed to the expected standard and recommend that funding approval be granted.  However, there are still significant economic benefits for the whole 'Pennine Gateways' project that remain outstanding and that will be delivered by the remaining South East Blackburn scheme.  Hence, there is a risk that the collective economic outputs against which the wider project secured its Growth Deal funding allocation may not materialise.</w:t>
            </w:r>
          </w:p>
          <w:p w:rsidR="002B3CC5" w:rsidRPr="002B3CC5" w:rsidRDefault="00F27974" w:rsidP="00487925">
            <w:pPr>
              <w:ind w:left="0" w:firstLine="0"/>
              <w:jc w:val="both"/>
              <w:rPr>
                <w:color w:val="auto"/>
              </w:rPr>
            </w:pPr>
          </w:p>
          <w:p w:rsidR="002B3CC5" w:rsidRPr="002B3CC5" w:rsidRDefault="004F28D5" w:rsidP="00487925">
            <w:pPr>
              <w:pStyle w:val="Heading5"/>
              <w:ind w:left="0" w:firstLine="0"/>
              <w:jc w:val="both"/>
              <w:rPr>
                <w:rFonts w:ascii="Arial" w:hAnsi="Arial"/>
                <w:b/>
                <w:color w:val="auto"/>
              </w:rPr>
            </w:pPr>
            <w:r w:rsidRPr="002B3CC5">
              <w:rPr>
                <w:rFonts w:ascii="Arial" w:hAnsi="Arial"/>
                <w:b/>
                <w:color w:val="auto"/>
              </w:rPr>
              <w:t>Recommendation</w:t>
            </w:r>
          </w:p>
          <w:p w:rsidR="002B3CC5" w:rsidRDefault="00F27974" w:rsidP="00487925">
            <w:pPr>
              <w:ind w:left="0" w:firstLine="0"/>
              <w:jc w:val="both"/>
              <w:rPr>
                <w:color w:val="auto"/>
              </w:rPr>
            </w:pPr>
          </w:p>
          <w:p w:rsidR="00B81D45" w:rsidRDefault="004F28D5" w:rsidP="00487925">
            <w:pPr>
              <w:ind w:left="0" w:firstLine="0"/>
              <w:jc w:val="both"/>
              <w:rPr>
                <w:color w:val="auto"/>
              </w:rPr>
            </w:pPr>
            <w:r>
              <w:rPr>
                <w:color w:val="auto"/>
              </w:rPr>
              <w:t>The committee is asked to:</w:t>
            </w:r>
          </w:p>
          <w:p w:rsidR="00B81D45" w:rsidRDefault="00F27974" w:rsidP="00487925">
            <w:pPr>
              <w:ind w:left="454" w:hanging="454"/>
              <w:jc w:val="both"/>
              <w:rPr>
                <w:color w:val="auto"/>
              </w:rPr>
            </w:pPr>
          </w:p>
          <w:p w:rsidR="00B81D45" w:rsidRDefault="004F28D5" w:rsidP="00487925">
            <w:pPr>
              <w:pStyle w:val="ListParagraph"/>
              <w:numPr>
                <w:ilvl w:val="0"/>
                <w:numId w:val="9"/>
              </w:numPr>
              <w:ind w:left="454" w:hanging="454"/>
              <w:jc w:val="both"/>
              <w:rPr>
                <w:color w:val="auto"/>
              </w:rPr>
            </w:pPr>
            <w:r w:rsidRPr="00EF3C5F">
              <w:rPr>
                <w:color w:val="auto"/>
              </w:rPr>
              <w:t>Consider the attached strategic outline business case report prepared by Jacobs and recommend the Lancashire Enterprise Partnership grant the scheme a maximum £2.3m Growth Deal funding at its next meeting</w:t>
            </w:r>
            <w:r>
              <w:rPr>
                <w:color w:val="auto"/>
              </w:rPr>
              <w:t>;</w:t>
            </w:r>
          </w:p>
          <w:p w:rsidR="00EF3C5F" w:rsidRPr="00EF3C5F" w:rsidRDefault="00F27974" w:rsidP="00487925">
            <w:pPr>
              <w:pStyle w:val="ListParagraph"/>
              <w:ind w:left="542" w:hanging="596"/>
              <w:jc w:val="both"/>
              <w:rPr>
                <w:color w:val="auto"/>
              </w:rPr>
            </w:pPr>
          </w:p>
          <w:p w:rsidR="00190C35" w:rsidRDefault="004F28D5" w:rsidP="00487925">
            <w:pPr>
              <w:pStyle w:val="ListParagraph"/>
              <w:numPr>
                <w:ilvl w:val="0"/>
                <w:numId w:val="9"/>
              </w:numPr>
              <w:ind w:left="454" w:hanging="454"/>
              <w:jc w:val="both"/>
            </w:pPr>
            <w:proofErr w:type="gramStart"/>
            <w:r w:rsidRPr="00487925">
              <w:rPr>
                <w:color w:val="auto"/>
              </w:rPr>
              <w:t>Advise</w:t>
            </w:r>
            <w:proofErr w:type="gramEnd"/>
            <w:r w:rsidRPr="00487925">
              <w:rPr>
                <w:color w:val="auto"/>
              </w:rPr>
              <w:t xml:space="preserve"> the Lancashire Enterprise Partnership that this funding grant be conditional on Blackburn with </w:t>
            </w:r>
            <w:proofErr w:type="spellStart"/>
            <w:r w:rsidRPr="00487925">
              <w:rPr>
                <w:color w:val="auto"/>
              </w:rPr>
              <w:t>Darwen</w:t>
            </w:r>
            <w:proofErr w:type="spellEnd"/>
            <w:r w:rsidRPr="00487925">
              <w:rPr>
                <w:color w:val="auto"/>
              </w:rPr>
              <w:t xml:space="preserve"> Council providing confirmation that the </w:t>
            </w:r>
            <w:r w:rsidRPr="00487925">
              <w:rPr>
                <w:color w:val="auto"/>
              </w:rPr>
              <w:lastRenderedPageBreak/>
              <w:t>collective economic output forecasts for the three 'Pennine Gateway' schemes remain in line with the targets provided in the original Expression of Interest.</w:t>
            </w:r>
          </w:p>
        </w:tc>
      </w:tr>
    </w:tbl>
    <w:p w:rsidR="002B3CC5" w:rsidRDefault="00F27974" w:rsidP="002471A0">
      <w:pPr>
        <w:pStyle w:val="Header"/>
        <w:jc w:val="both"/>
      </w:pPr>
    </w:p>
    <w:p w:rsidR="00A3358A" w:rsidRDefault="004F28D5" w:rsidP="002471A0">
      <w:pPr>
        <w:spacing w:after="0" w:line="240" w:lineRule="auto"/>
        <w:jc w:val="both"/>
        <w:rPr>
          <w:b/>
        </w:rPr>
      </w:pPr>
      <w:r>
        <w:rPr>
          <w:b/>
        </w:rPr>
        <w:t xml:space="preserve">Background and Advice </w:t>
      </w:r>
    </w:p>
    <w:p w:rsidR="00A3358A" w:rsidRPr="002471A0" w:rsidRDefault="00F27974" w:rsidP="002471A0">
      <w:pPr>
        <w:spacing w:after="0" w:line="240" w:lineRule="auto"/>
        <w:jc w:val="both"/>
      </w:pPr>
    </w:p>
    <w:p w:rsidR="002471A0" w:rsidRDefault="004F28D5" w:rsidP="00EF3253">
      <w:pPr>
        <w:spacing w:after="0" w:line="240" w:lineRule="auto"/>
        <w:ind w:left="0" w:firstLine="0"/>
        <w:jc w:val="both"/>
      </w:pPr>
      <w:r>
        <w:t>The North Blackburn scheme is one of three infrastructure packages that collectively form the 'Pennine Gateways' project, which aims to support the delivery of new homes, new businesses and jobs in three specific growth areas in Blackburn, whilst at the same time alleviating congestion on key routes.  It comprises various improvement schemes at a number of junctions along the A6119 route to the north of the town, including upgrading traffic signal control equipment and resurfacing and associated alterations to road markings, signage and geometry.  The junctions in question are:</w:t>
      </w:r>
    </w:p>
    <w:p w:rsidR="00EF3253" w:rsidRPr="002471A0" w:rsidRDefault="00F27974" w:rsidP="00EF3253">
      <w:pPr>
        <w:spacing w:after="0" w:line="240" w:lineRule="auto"/>
        <w:ind w:left="0" w:firstLine="0"/>
        <w:jc w:val="both"/>
      </w:pPr>
    </w:p>
    <w:p w:rsidR="002471A0" w:rsidRPr="002471A0" w:rsidRDefault="004F28D5" w:rsidP="00EF3253">
      <w:pPr>
        <w:pStyle w:val="Para0"/>
        <w:numPr>
          <w:ilvl w:val="0"/>
          <w:numId w:val="5"/>
        </w:numPr>
        <w:spacing w:before="0" w:after="0" w:line="240" w:lineRule="auto"/>
        <w:ind w:left="567" w:hanging="567"/>
        <w:jc w:val="both"/>
        <w:rPr>
          <w:sz w:val="24"/>
          <w:szCs w:val="24"/>
          <w:lang w:eastAsia="en-GB"/>
        </w:rPr>
      </w:pPr>
      <w:r w:rsidRPr="002471A0">
        <w:rPr>
          <w:sz w:val="24"/>
          <w:szCs w:val="24"/>
          <w:lang w:eastAsia="en-GB"/>
        </w:rPr>
        <w:t>A6119</w:t>
      </w:r>
      <w:r>
        <w:rPr>
          <w:sz w:val="24"/>
          <w:szCs w:val="24"/>
          <w:lang w:eastAsia="en-GB"/>
        </w:rPr>
        <w:t>/A666</w:t>
      </w:r>
      <w:r w:rsidRPr="002471A0">
        <w:rPr>
          <w:sz w:val="24"/>
          <w:szCs w:val="24"/>
          <w:lang w:eastAsia="en-GB"/>
        </w:rPr>
        <w:t xml:space="preserve"> Brownhill Roundabout;</w:t>
      </w:r>
    </w:p>
    <w:p w:rsidR="002471A0" w:rsidRPr="002471A0" w:rsidRDefault="004F28D5" w:rsidP="00EF3253">
      <w:pPr>
        <w:pStyle w:val="Para0"/>
        <w:numPr>
          <w:ilvl w:val="0"/>
          <w:numId w:val="5"/>
        </w:numPr>
        <w:spacing w:before="0" w:after="0" w:line="240" w:lineRule="auto"/>
        <w:ind w:left="567" w:hanging="567"/>
        <w:jc w:val="both"/>
        <w:rPr>
          <w:sz w:val="24"/>
          <w:szCs w:val="24"/>
          <w:lang w:eastAsia="en-GB"/>
        </w:rPr>
      </w:pPr>
      <w:r>
        <w:rPr>
          <w:sz w:val="24"/>
          <w:szCs w:val="24"/>
          <w:lang w:eastAsia="en-GB"/>
        </w:rPr>
        <w:t xml:space="preserve">A6119 </w:t>
      </w:r>
      <w:proofErr w:type="spellStart"/>
      <w:r>
        <w:rPr>
          <w:sz w:val="24"/>
          <w:szCs w:val="24"/>
          <w:lang w:eastAsia="en-GB"/>
        </w:rPr>
        <w:t>Ramsgreave</w:t>
      </w:r>
      <w:proofErr w:type="spellEnd"/>
      <w:r>
        <w:rPr>
          <w:sz w:val="24"/>
          <w:szCs w:val="24"/>
          <w:lang w:eastAsia="en-GB"/>
        </w:rPr>
        <w:t xml:space="preserve"> Drive junction with </w:t>
      </w:r>
      <w:proofErr w:type="spellStart"/>
      <w:r w:rsidRPr="002471A0">
        <w:rPr>
          <w:sz w:val="24"/>
          <w:szCs w:val="24"/>
          <w:lang w:eastAsia="en-GB"/>
        </w:rPr>
        <w:t>Pleckgate</w:t>
      </w:r>
      <w:proofErr w:type="spellEnd"/>
      <w:r w:rsidRPr="002471A0">
        <w:rPr>
          <w:sz w:val="24"/>
          <w:szCs w:val="24"/>
          <w:lang w:eastAsia="en-GB"/>
        </w:rPr>
        <w:t xml:space="preserve"> Road</w:t>
      </w:r>
      <w:r>
        <w:rPr>
          <w:sz w:val="24"/>
          <w:szCs w:val="24"/>
          <w:lang w:eastAsia="en-GB"/>
        </w:rPr>
        <w:t xml:space="preserve">; </w:t>
      </w:r>
      <w:r w:rsidRPr="002471A0">
        <w:rPr>
          <w:sz w:val="24"/>
          <w:szCs w:val="24"/>
          <w:lang w:eastAsia="en-GB"/>
        </w:rPr>
        <w:t>and</w:t>
      </w:r>
    </w:p>
    <w:p w:rsidR="002471A0" w:rsidRPr="002471A0" w:rsidRDefault="004F28D5" w:rsidP="00EF3253">
      <w:pPr>
        <w:pStyle w:val="Para0"/>
        <w:numPr>
          <w:ilvl w:val="0"/>
          <w:numId w:val="5"/>
        </w:numPr>
        <w:spacing w:before="0" w:after="0" w:line="240" w:lineRule="auto"/>
        <w:ind w:left="567" w:hanging="567"/>
        <w:jc w:val="both"/>
        <w:rPr>
          <w:sz w:val="24"/>
          <w:szCs w:val="24"/>
          <w:lang w:eastAsia="en-GB"/>
        </w:rPr>
      </w:pPr>
      <w:r w:rsidRPr="002471A0">
        <w:rPr>
          <w:sz w:val="24"/>
          <w:szCs w:val="24"/>
          <w:lang w:eastAsia="en-GB"/>
        </w:rPr>
        <w:t>A6119 Brownhill Drive</w:t>
      </w:r>
      <w:r>
        <w:rPr>
          <w:sz w:val="24"/>
          <w:szCs w:val="24"/>
          <w:lang w:eastAsia="en-GB"/>
        </w:rPr>
        <w:t xml:space="preserve"> junctions with Whalley Old Road.</w:t>
      </w:r>
    </w:p>
    <w:p w:rsidR="002471A0" w:rsidRDefault="00F27974" w:rsidP="00EF3253">
      <w:pPr>
        <w:spacing w:after="0" w:line="240" w:lineRule="auto"/>
        <w:ind w:left="0" w:firstLine="0"/>
        <w:jc w:val="both"/>
      </w:pPr>
    </w:p>
    <w:p w:rsidR="002471A0" w:rsidRDefault="004F28D5" w:rsidP="00EF3253">
      <w:pPr>
        <w:spacing w:after="0" w:line="240" w:lineRule="auto"/>
        <w:ind w:left="0" w:firstLine="0"/>
        <w:jc w:val="both"/>
      </w:pPr>
      <w:r>
        <w:t>In addition, each junction will benefit from improved facilities for pedestrians and cyclists, better street lighting and enhanced landscaping.  The scheme supports the delivery of 427 new houses across two sites.</w:t>
      </w:r>
    </w:p>
    <w:p w:rsidR="002471A0" w:rsidRDefault="00F27974" w:rsidP="002471A0">
      <w:pPr>
        <w:ind w:left="0" w:firstLine="0"/>
        <w:jc w:val="both"/>
      </w:pPr>
    </w:p>
    <w:p w:rsidR="002471A0" w:rsidRDefault="004F28D5" w:rsidP="00520792">
      <w:pPr>
        <w:autoSpaceDE w:val="0"/>
        <w:autoSpaceDN w:val="0"/>
        <w:adjustRightInd w:val="0"/>
        <w:spacing w:after="0" w:line="240" w:lineRule="auto"/>
        <w:ind w:left="0" w:firstLine="0"/>
        <w:jc w:val="both"/>
      </w:pPr>
      <w:r>
        <w:rPr>
          <w:rFonts w:ascii="ArialMT" w:eastAsiaTheme="minorHAnsi" w:hAnsi="ArialMT" w:cs="ArialMT"/>
          <w:color w:val="auto"/>
          <w:lang w:eastAsia="en-US"/>
        </w:rPr>
        <w:t xml:space="preserve">In accordance with the Lancashire Enterprise Partnership's Assurance Framework, Blackburn with </w:t>
      </w:r>
      <w:proofErr w:type="spellStart"/>
      <w:r>
        <w:rPr>
          <w:rFonts w:ascii="ArialMT" w:eastAsiaTheme="minorHAnsi" w:hAnsi="ArialMT" w:cs="ArialMT"/>
          <w:color w:val="auto"/>
          <w:lang w:eastAsia="en-US"/>
        </w:rPr>
        <w:t>Darwen</w:t>
      </w:r>
      <w:proofErr w:type="spellEnd"/>
      <w:r>
        <w:rPr>
          <w:rFonts w:ascii="ArialMT" w:eastAsiaTheme="minorHAnsi" w:hAnsi="ArialMT" w:cs="ArialMT"/>
          <w:color w:val="auto"/>
          <w:lang w:eastAsia="en-US"/>
        </w:rPr>
        <w:t xml:space="preserve"> Council has submitted a strategic outline business case for funding approval.  The consultants Jacobs have undertaken an independent assessment of the strategic outline business case on behalf of the Lancashire Enterprise Partnership.  Jacobs are satisfied that the project has been developed to the expected standard and recommend that funding approval be granted.  </w:t>
      </w:r>
      <w:r w:rsidRPr="00A8195B">
        <w:rPr>
          <w:rFonts w:ascii="ArialMT" w:eastAsiaTheme="minorHAnsi" w:hAnsi="ArialMT" w:cs="ArialMT"/>
          <w:color w:val="auto"/>
          <w:lang w:eastAsia="en-US"/>
        </w:rPr>
        <w:t>Jacobs' report is attached as A</w:t>
      </w:r>
      <w:r w:rsidR="00F27974">
        <w:rPr>
          <w:rFonts w:ascii="ArialMT" w:eastAsiaTheme="minorHAnsi" w:hAnsi="ArialMT" w:cs="ArialMT"/>
          <w:color w:val="auto"/>
          <w:lang w:eastAsia="en-US"/>
        </w:rPr>
        <w:t xml:space="preserve">ppendix </w:t>
      </w:r>
      <w:bookmarkStart w:id="0" w:name="_GoBack"/>
      <w:bookmarkEnd w:id="0"/>
      <w:r w:rsidR="009D5609">
        <w:rPr>
          <w:rFonts w:ascii="ArialMT" w:eastAsiaTheme="minorHAnsi" w:hAnsi="ArialMT" w:cs="ArialMT"/>
          <w:color w:val="auto"/>
          <w:lang w:eastAsia="en-US"/>
        </w:rPr>
        <w:t>'</w:t>
      </w:r>
      <w:r w:rsidRPr="00A8195B">
        <w:rPr>
          <w:rFonts w:ascii="ArialMT" w:eastAsiaTheme="minorHAnsi" w:hAnsi="ArialMT" w:cs="ArialMT"/>
          <w:color w:val="auto"/>
          <w:lang w:eastAsia="en-US"/>
        </w:rPr>
        <w:t>A'.</w:t>
      </w:r>
    </w:p>
    <w:p w:rsidR="00520792" w:rsidRDefault="00F27974" w:rsidP="00520792">
      <w:pPr>
        <w:ind w:left="0" w:firstLine="0"/>
        <w:jc w:val="both"/>
      </w:pPr>
    </w:p>
    <w:p w:rsidR="00520792" w:rsidRDefault="004F28D5" w:rsidP="00520792">
      <w:pPr>
        <w:autoSpaceDE w:val="0"/>
        <w:autoSpaceDN w:val="0"/>
        <w:adjustRightInd w:val="0"/>
        <w:spacing w:after="0" w:line="240" w:lineRule="auto"/>
        <w:ind w:left="0" w:firstLine="0"/>
        <w:jc w:val="both"/>
      </w:pPr>
      <w:r w:rsidRPr="00A8195B">
        <w:rPr>
          <w:rFonts w:ascii="ArialMT" w:eastAsiaTheme="minorHAnsi" w:hAnsi="ArialMT" w:cs="ArialMT"/>
          <w:color w:val="auto"/>
          <w:lang w:eastAsia="en-US"/>
        </w:rPr>
        <w:t xml:space="preserve">The total </w:t>
      </w:r>
      <w:r>
        <w:rPr>
          <w:rFonts w:ascii="ArialMT" w:eastAsiaTheme="minorHAnsi" w:hAnsi="ArialMT" w:cs="ArialMT"/>
          <w:color w:val="auto"/>
          <w:lang w:eastAsia="en-US"/>
        </w:rPr>
        <w:t xml:space="preserve">risk adjusted </w:t>
      </w:r>
      <w:r w:rsidRPr="00A8195B">
        <w:rPr>
          <w:rFonts w:ascii="ArialMT" w:eastAsiaTheme="minorHAnsi" w:hAnsi="ArialMT" w:cs="ArialMT"/>
          <w:color w:val="auto"/>
          <w:lang w:eastAsia="en-US"/>
        </w:rPr>
        <w:t xml:space="preserve">cost </w:t>
      </w:r>
      <w:r>
        <w:rPr>
          <w:rFonts w:ascii="ArialMT" w:eastAsiaTheme="minorHAnsi" w:hAnsi="ArialMT" w:cs="ArialMT"/>
          <w:color w:val="auto"/>
          <w:lang w:eastAsia="en-US"/>
        </w:rPr>
        <w:t>of</w:t>
      </w:r>
      <w:r w:rsidRPr="00A8195B">
        <w:rPr>
          <w:rFonts w:ascii="ArialMT" w:eastAsiaTheme="minorHAnsi" w:hAnsi="ArialMT" w:cs="ArialMT"/>
          <w:color w:val="auto"/>
          <w:lang w:eastAsia="en-US"/>
        </w:rPr>
        <w:t xml:space="preserve"> the scheme is £2.6</w:t>
      </w:r>
      <w:r>
        <w:rPr>
          <w:rFonts w:ascii="ArialMT" w:eastAsiaTheme="minorHAnsi" w:hAnsi="ArialMT" w:cs="ArialMT"/>
          <w:color w:val="auto"/>
          <w:lang w:eastAsia="en-US"/>
        </w:rPr>
        <w:t>m</w:t>
      </w:r>
      <w:r w:rsidRPr="00A8195B">
        <w:rPr>
          <w:rFonts w:ascii="ArialMT" w:eastAsiaTheme="minorHAnsi" w:hAnsi="ArialMT" w:cs="ArialMT"/>
          <w:color w:val="auto"/>
          <w:lang w:eastAsia="en-US"/>
        </w:rPr>
        <w:t xml:space="preserve"> </w:t>
      </w:r>
      <w:r>
        <w:rPr>
          <w:rFonts w:ascii="ArialMT" w:eastAsiaTheme="minorHAnsi" w:hAnsi="ArialMT" w:cs="ArialMT"/>
          <w:color w:val="auto"/>
          <w:lang w:eastAsia="en-US"/>
        </w:rPr>
        <w:t>following contractor tender submissions (October 2018)</w:t>
      </w:r>
      <w:r w:rsidRPr="00A8195B">
        <w:rPr>
          <w:rFonts w:ascii="ArialMT" w:eastAsiaTheme="minorHAnsi" w:hAnsi="ArialMT" w:cs="ArialMT"/>
          <w:color w:val="auto"/>
          <w:lang w:eastAsia="en-US"/>
        </w:rPr>
        <w:t xml:space="preserve">, funded through a maximum £2.3m contribution from the Local Growth Fund through the Lancashire Growth Deal and a £300,000 contribution from Blackburn with </w:t>
      </w:r>
      <w:proofErr w:type="spellStart"/>
      <w:r w:rsidRPr="00A8195B">
        <w:rPr>
          <w:rFonts w:ascii="ArialMT" w:eastAsiaTheme="minorHAnsi" w:hAnsi="ArialMT" w:cs="ArialMT"/>
          <w:color w:val="auto"/>
          <w:lang w:eastAsia="en-US"/>
        </w:rPr>
        <w:t>Darwen</w:t>
      </w:r>
      <w:proofErr w:type="spellEnd"/>
      <w:r w:rsidRPr="00A8195B">
        <w:rPr>
          <w:rFonts w:ascii="ArialMT" w:eastAsiaTheme="minorHAnsi" w:hAnsi="ArialMT" w:cs="ArialMT"/>
          <w:color w:val="auto"/>
          <w:lang w:eastAsia="en-US"/>
        </w:rPr>
        <w:t xml:space="preserve"> Council.  The local contribution amounts to </w:t>
      </w:r>
      <w:r>
        <w:rPr>
          <w:rFonts w:ascii="ArialMT" w:eastAsiaTheme="minorHAnsi" w:hAnsi="ArialMT" w:cs="ArialMT"/>
          <w:color w:val="auto"/>
          <w:lang w:eastAsia="en-US"/>
        </w:rPr>
        <w:t>11.5</w:t>
      </w:r>
      <w:r w:rsidRPr="00A8195B">
        <w:rPr>
          <w:rFonts w:ascii="ArialMT" w:eastAsiaTheme="minorHAnsi" w:hAnsi="ArialMT" w:cs="ArialMT"/>
          <w:color w:val="auto"/>
          <w:lang w:eastAsia="en-US"/>
        </w:rPr>
        <w:t>% of total scheme cost.  The council's S151 letter confirms the council's commitment to fund the local contribution together with any overspend.  The council expects the works to take place between January and November 2019.</w:t>
      </w:r>
    </w:p>
    <w:p w:rsidR="00520792" w:rsidRDefault="00F27974" w:rsidP="00520792">
      <w:pPr>
        <w:ind w:left="0" w:firstLine="0"/>
        <w:jc w:val="both"/>
      </w:pPr>
    </w:p>
    <w:p w:rsidR="00B325E0" w:rsidRDefault="004F28D5" w:rsidP="00A8195B">
      <w:pPr>
        <w:autoSpaceDE w:val="0"/>
        <w:autoSpaceDN w:val="0"/>
        <w:adjustRightInd w:val="0"/>
        <w:spacing w:after="0" w:line="240" w:lineRule="auto"/>
        <w:ind w:left="0" w:firstLine="0"/>
        <w:jc w:val="both"/>
        <w:rPr>
          <w:rFonts w:ascii="ArialMT" w:eastAsiaTheme="minorHAnsi" w:hAnsi="ArialMT" w:cs="ArialMT"/>
          <w:color w:val="auto"/>
          <w:lang w:eastAsia="en-US"/>
        </w:rPr>
      </w:pPr>
      <w:r w:rsidRPr="00A8195B">
        <w:rPr>
          <w:rFonts w:ascii="ArialMT" w:eastAsiaTheme="minorHAnsi" w:hAnsi="ArialMT" w:cs="ArialMT"/>
          <w:color w:val="auto"/>
          <w:lang w:eastAsia="en-US"/>
        </w:rPr>
        <w:t xml:space="preserve">The scheme is predicted to deliver very high value for money with a benefit to cost ratio of 7.9.  </w:t>
      </w:r>
      <w:r>
        <w:rPr>
          <w:rFonts w:ascii="ArialMT" w:eastAsiaTheme="minorHAnsi" w:hAnsi="ArialMT" w:cs="ArialMT"/>
          <w:color w:val="auto"/>
          <w:lang w:eastAsia="en-US"/>
        </w:rPr>
        <w:t xml:space="preserve">However, Jacobs have raised a concern with regard to the traffic modelling work that could result in an overstatement of travel time benefits.  To offset this concern, Jacobs have placed greater emphasis on the no growth or low growth sensitivity tests included within the strategic outline business case; these reduce the </w:t>
      </w:r>
      <w:r w:rsidRPr="00A8195B">
        <w:rPr>
          <w:rFonts w:ascii="ArialMT" w:eastAsiaTheme="minorHAnsi" w:hAnsi="ArialMT" w:cs="ArialMT"/>
          <w:color w:val="auto"/>
          <w:lang w:eastAsia="en-US"/>
        </w:rPr>
        <w:t xml:space="preserve">benefit to </w:t>
      </w:r>
      <w:r>
        <w:rPr>
          <w:rFonts w:ascii="ArialMT" w:eastAsiaTheme="minorHAnsi" w:hAnsi="ArialMT" w:cs="ArialMT"/>
          <w:color w:val="auto"/>
          <w:lang w:eastAsia="en-US"/>
        </w:rPr>
        <w:t xml:space="preserve">cost ratio to between 3.7 and 6. </w:t>
      </w:r>
      <w:r w:rsidRPr="00A8195B">
        <w:rPr>
          <w:rFonts w:ascii="ArialMT" w:eastAsiaTheme="minorHAnsi" w:hAnsi="ArialMT" w:cs="ArialMT"/>
          <w:color w:val="auto"/>
          <w:lang w:eastAsia="en-US"/>
        </w:rPr>
        <w:t xml:space="preserve"> </w:t>
      </w:r>
      <w:r>
        <w:rPr>
          <w:rFonts w:ascii="ArialMT" w:eastAsiaTheme="minorHAnsi" w:hAnsi="ArialMT" w:cs="ArialMT"/>
          <w:color w:val="auto"/>
          <w:lang w:eastAsia="en-US"/>
        </w:rPr>
        <w:t>T</w:t>
      </w:r>
      <w:r w:rsidRPr="00A8195B">
        <w:rPr>
          <w:rFonts w:ascii="ArialMT" w:eastAsiaTheme="minorHAnsi" w:hAnsi="ArialMT" w:cs="ArialMT"/>
          <w:color w:val="auto"/>
          <w:lang w:eastAsia="en-US"/>
        </w:rPr>
        <w:t xml:space="preserve">his still represents high or very high value for money.  </w:t>
      </w:r>
      <w:r>
        <w:rPr>
          <w:rFonts w:ascii="ArialMT" w:eastAsiaTheme="minorHAnsi" w:hAnsi="ArialMT" w:cs="ArialMT"/>
          <w:color w:val="auto"/>
          <w:lang w:eastAsia="en-US"/>
        </w:rPr>
        <w:t>Jacobs also advise that future changes in land use, for example, an anticipated 4,000 new homes to be allocated in North East Blackburn in the emerging local plan, are likely to result in a requirement for further intervention at some point in the future.  Nevertheless, the scheme as proposed still delivers significant benefits relative to the do nothing situation.</w:t>
      </w:r>
    </w:p>
    <w:p w:rsidR="00B325E0" w:rsidRDefault="00F27974" w:rsidP="00A8195B">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2471A0" w:rsidRDefault="004F28D5" w:rsidP="00A8195B">
      <w:pPr>
        <w:autoSpaceDE w:val="0"/>
        <w:autoSpaceDN w:val="0"/>
        <w:adjustRightInd w:val="0"/>
        <w:spacing w:after="0" w:line="240" w:lineRule="auto"/>
        <w:ind w:left="0" w:firstLine="0"/>
        <w:jc w:val="both"/>
        <w:rPr>
          <w:rFonts w:ascii="ArialMT" w:eastAsiaTheme="minorHAnsi" w:hAnsi="ArialMT" w:cs="ArialMT"/>
          <w:color w:val="auto"/>
          <w:lang w:eastAsia="en-US"/>
        </w:rPr>
      </w:pPr>
      <w:r w:rsidRPr="00A8195B">
        <w:rPr>
          <w:rFonts w:ascii="ArialMT" w:eastAsiaTheme="minorHAnsi" w:hAnsi="ArialMT" w:cs="ArialMT"/>
          <w:color w:val="auto"/>
          <w:lang w:eastAsia="en-US"/>
        </w:rPr>
        <w:lastRenderedPageBreak/>
        <w:t xml:space="preserve">The scheme has the potential to generate a further £17 million (2010 prices discounted) of wider economic benefits over the 60-year appraisal period arising from the development of </w:t>
      </w:r>
      <w:r>
        <w:rPr>
          <w:rFonts w:ascii="ArialMT" w:eastAsiaTheme="minorHAnsi" w:hAnsi="ArialMT" w:cs="ArialMT"/>
          <w:color w:val="auto"/>
          <w:lang w:eastAsia="en-US"/>
        </w:rPr>
        <w:t xml:space="preserve">the two </w:t>
      </w:r>
      <w:r w:rsidRPr="00A8195B">
        <w:rPr>
          <w:rFonts w:ascii="ArialMT" w:eastAsiaTheme="minorHAnsi" w:hAnsi="ArialMT" w:cs="ArialMT"/>
          <w:color w:val="auto"/>
          <w:lang w:eastAsia="en-US"/>
        </w:rPr>
        <w:t xml:space="preserve">housing sites that the scheme will unlock.  </w:t>
      </w:r>
      <w:r>
        <w:rPr>
          <w:rFonts w:ascii="ArialMT" w:eastAsiaTheme="minorHAnsi" w:hAnsi="ArialMT" w:cs="ArialMT"/>
          <w:color w:val="auto"/>
          <w:lang w:eastAsia="en-US"/>
        </w:rPr>
        <w:t>The committee should note that this still leaves significant economic benefits for the whole 'Pennine Gateways' project outstanding that will be delivered by the remaining South East Blackburn scheme.  Hence, there is a risk that the collective economic outputs against which the wider project which secured its Growth Deal funding allocation may not materialise (Table 1 below refers).</w:t>
      </w:r>
    </w:p>
    <w:p w:rsidR="00311D59" w:rsidRPr="004F28D5" w:rsidRDefault="004F28D5" w:rsidP="00311D59">
      <w:pPr>
        <w:pStyle w:val="Caption"/>
        <w:rPr>
          <w:sz w:val="22"/>
          <w:szCs w:val="22"/>
        </w:rPr>
      </w:pPr>
      <w:bookmarkStart w:id="1" w:name="_Ref514158748"/>
      <w:r w:rsidRPr="004F28D5">
        <w:rPr>
          <w:sz w:val="22"/>
          <w:szCs w:val="22"/>
        </w:rPr>
        <w:t xml:space="preserve">Table </w:t>
      </w:r>
      <w:r w:rsidRPr="004F28D5">
        <w:rPr>
          <w:sz w:val="22"/>
          <w:szCs w:val="22"/>
        </w:rPr>
        <w:fldChar w:fldCharType="begin"/>
      </w:r>
      <w:r w:rsidRPr="004F28D5">
        <w:rPr>
          <w:sz w:val="22"/>
          <w:szCs w:val="22"/>
        </w:rPr>
        <w:instrText xml:space="preserve"> SEQ Table \* ARABIC </w:instrText>
      </w:r>
      <w:r w:rsidRPr="004F28D5">
        <w:rPr>
          <w:sz w:val="22"/>
          <w:szCs w:val="22"/>
        </w:rPr>
        <w:fldChar w:fldCharType="separate"/>
      </w:r>
      <w:r w:rsidRPr="004F28D5">
        <w:rPr>
          <w:noProof/>
          <w:sz w:val="22"/>
          <w:szCs w:val="22"/>
        </w:rPr>
        <w:t>1</w:t>
      </w:r>
      <w:r w:rsidRPr="004F28D5">
        <w:rPr>
          <w:noProof/>
          <w:sz w:val="22"/>
          <w:szCs w:val="22"/>
        </w:rPr>
        <w:fldChar w:fldCharType="end"/>
      </w:r>
      <w:bookmarkEnd w:id="1"/>
      <w:r w:rsidRPr="004F28D5">
        <w:rPr>
          <w:sz w:val="22"/>
          <w:szCs w:val="22"/>
        </w:rPr>
        <w:t xml:space="preserve"> - Economic Output Comparison</w:t>
      </w:r>
    </w:p>
    <w:tbl>
      <w:tblPr>
        <w:tblW w:w="8495" w:type="dxa"/>
        <w:tblCellMar>
          <w:left w:w="0" w:type="dxa"/>
          <w:right w:w="0" w:type="dxa"/>
        </w:tblCellMar>
        <w:tblLook w:val="04A0" w:firstRow="1" w:lastRow="0" w:firstColumn="1" w:lastColumn="0" w:noHBand="0" w:noVBand="1"/>
      </w:tblPr>
      <w:tblGrid>
        <w:gridCol w:w="2684"/>
        <w:gridCol w:w="1842"/>
        <w:gridCol w:w="1843"/>
        <w:gridCol w:w="2126"/>
      </w:tblGrid>
      <w:tr w:rsidR="00DA3150" w:rsidRPr="004F28D5" w:rsidTr="00A32B10">
        <w:tc>
          <w:tcPr>
            <w:tcW w:w="268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11D59" w:rsidRPr="004F28D5" w:rsidRDefault="004F28D5" w:rsidP="00A32B10">
            <w:pPr>
              <w:pStyle w:val="PlainText"/>
            </w:pPr>
            <w:r w:rsidRPr="004F28D5">
              <w:t> Economic Output</w:t>
            </w:r>
          </w:p>
        </w:tc>
        <w:tc>
          <w:tcPr>
            <w:tcW w:w="18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11D59" w:rsidRPr="004F28D5" w:rsidRDefault="004F28D5" w:rsidP="00A32B10">
            <w:pPr>
              <w:pStyle w:val="PlainText"/>
              <w:rPr>
                <w:b/>
              </w:rPr>
            </w:pPr>
            <w:r w:rsidRPr="004F28D5">
              <w:rPr>
                <w:b/>
              </w:rPr>
              <w:t>North Blackburn</w:t>
            </w:r>
          </w:p>
        </w:tc>
        <w:tc>
          <w:tcPr>
            <w:tcW w:w="1843" w:type="dxa"/>
            <w:tcBorders>
              <w:top w:val="single" w:sz="8" w:space="0" w:color="auto"/>
              <w:left w:val="single" w:sz="8" w:space="0" w:color="auto"/>
              <w:bottom w:val="single" w:sz="8" w:space="0" w:color="auto"/>
              <w:right w:val="single" w:sz="8" w:space="0" w:color="auto"/>
            </w:tcBorders>
            <w:shd w:val="clear" w:color="auto" w:fill="BFBFBF"/>
          </w:tcPr>
          <w:p w:rsidR="00311D59" w:rsidRPr="004F28D5" w:rsidRDefault="004F28D5" w:rsidP="00A32B10">
            <w:pPr>
              <w:pStyle w:val="PlainText"/>
            </w:pPr>
            <w:proofErr w:type="spellStart"/>
            <w:r w:rsidRPr="004F28D5">
              <w:t>Furthergate</w:t>
            </w:r>
            <w:proofErr w:type="spellEnd"/>
          </w:p>
        </w:tc>
        <w:tc>
          <w:tcPr>
            <w:tcW w:w="212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11D59" w:rsidRPr="004F28D5" w:rsidRDefault="004F28D5" w:rsidP="00A32B10">
            <w:pPr>
              <w:pStyle w:val="PlainText"/>
            </w:pPr>
            <w:r w:rsidRPr="004F28D5">
              <w:t>Pennine Gateway Forecast Total</w:t>
            </w:r>
          </w:p>
        </w:tc>
      </w:tr>
      <w:tr w:rsidR="00DA3150" w:rsidRPr="004F28D5" w:rsidTr="00A32B10">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Housing units</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rPr>
                <w:b/>
              </w:rPr>
            </w:pPr>
            <w:r w:rsidRPr="004F28D5">
              <w:rPr>
                <w:b/>
              </w:rPr>
              <w:t>427</w:t>
            </w:r>
          </w:p>
        </w:tc>
        <w:tc>
          <w:tcPr>
            <w:tcW w:w="1843" w:type="dxa"/>
            <w:tcBorders>
              <w:top w:val="single" w:sz="8" w:space="0" w:color="auto"/>
              <w:left w:val="single" w:sz="8" w:space="0" w:color="auto"/>
              <w:bottom w:val="single" w:sz="8" w:space="0" w:color="auto"/>
              <w:right w:val="single" w:sz="8" w:space="0" w:color="auto"/>
            </w:tcBorders>
          </w:tcPr>
          <w:p w:rsidR="00311D59" w:rsidRPr="004F28D5" w:rsidRDefault="004F28D5" w:rsidP="00A32B10">
            <w:pPr>
              <w:pStyle w:val="PlainText"/>
            </w:pPr>
            <w:r w:rsidRPr="004F28D5">
              <w:t>Nil</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870</w:t>
            </w:r>
          </w:p>
        </w:tc>
      </w:tr>
      <w:tr w:rsidR="00DA3150" w:rsidRPr="004F28D5" w:rsidTr="00A32B10">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Private sector investment</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rPr>
                <w:b/>
              </w:rPr>
            </w:pPr>
            <w:r w:rsidRPr="004F28D5">
              <w:rPr>
                <w:b/>
              </w:rPr>
              <w:t>-</w:t>
            </w:r>
          </w:p>
        </w:tc>
        <w:tc>
          <w:tcPr>
            <w:tcW w:w="1843" w:type="dxa"/>
            <w:tcBorders>
              <w:top w:val="single" w:sz="8" w:space="0" w:color="auto"/>
              <w:left w:val="single" w:sz="8" w:space="0" w:color="auto"/>
              <w:bottom w:val="single" w:sz="8" w:space="0" w:color="auto"/>
              <w:right w:val="single" w:sz="8" w:space="0" w:color="auto"/>
            </w:tcBorders>
          </w:tcPr>
          <w:p w:rsidR="00311D59" w:rsidRPr="004F28D5" w:rsidRDefault="004F28D5" w:rsidP="00A32B10">
            <w:pPr>
              <w:pStyle w:val="PlainText"/>
            </w:pPr>
            <w:r w:rsidRPr="004F28D5">
              <w:t>£40m</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£125m</w:t>
            </w:r>
          </w:p>
        </w:tc>
      </w:tr>
      <w:tr w:rsidR="00DA3150" w:rsidRPr="004F28D5" w:rsidTr="00A32B10">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Jobs</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rPr>
                <w:b/>
              </w:rPr>
            </w:pPr>
            <w:r w:rsidRPr="004F28D5">
              <w:rPr>
                <w:b/>
              </w:rPr>
              <w:t>-</w:t>
            </w:r>
          </w:p>
        </w:tc>
        <w:tc>
          <w:tcPr>
            <w:tcW w:w="1843" w:type="dxa"/>
            <w:tcBorders>
              <w:top w:val="single" w:sz="8" w:space="0" w:color="auto"/>
              <w:left w:val="single" w:sz="8" w:space="0" w:color="auto"/>
              <w:bottom w:val="single" w:sz="8" w:space="0" w:color="auto"/>
              <w:right w:val="single" w:sz="8" w:space="0" w:color="auto"/>
            </w:tcBorders>
          </w:tcPr>
          <w:p w:rsidR="00311D59" w:rsidRPr="004F28D5" w:rsidRDefault="004F28D5" w:rsidP="00A32B10">
            <w:pPr>
              <w:pStyle w:val="PlainText"/>
            </w:pPr>
            <w:r w:rsidRPr="004F28D5">
              <w:t>438</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3,750</w:t>
            </w:r>
          </w:p>
        </w:tc>
      </w:tr>
      <w:tr w:rsidR="00DA3150" w:rsidRPr="004F28D5" w:rsidTr="00A32B10">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Commercial floor space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rPr>
                <w:b/>
              </w:rPr>
            </w:pPr>
            <w:r w:rsidRPr="004F28D5">
              <w:rPr>
                <w:b/>
              </w:rPr>
              <w:t xml:space="preserve">- </w:t>
            </w:r>
          </w:p>
        </w:tc>
        <w:tc>
          <w:tcPr>
            <w:tcW w:w="1843" w:type="dxa"/>
            <w:tcBorders>
              <w:top w:val="single" w:sz="8" w:space="0" w:color="auto"/>
              <w:left w:val="single" w:sz="8" w:space="0" w:color="auto"/>
              <w:bottom w:val="single" w:sz="8" w:space="0" w:color="auto"/>
              <w:right w:val="single" w:sz="8" w:space="0" w:color="auto"/>
            </w:tcBorders>
          </w:tcPr>
          <w:p w:rsidR="00311D59" w:rsidRPr="004F28D5" w:rsidRDefault="004F28D5" w:rsidP="00A32B10">
            <w:pPr>
              <w:pStyle w:val="PlainText"/>
            </w:pPr>
            <w:r w:rsidRPr="004F28D5">
              <w:t>17,500 m</w:t>
            </w:r>
            <w:r w:rsidRPr="004F28D5">
              <w:rPr>
                <w:vertAlign w:val="superscript"/>
              </w:rPr>
              <w:t>2</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64,000 m</w:t>
            </w:r>
            <w:r w:rsidRPr="004F28D5">
              <w:rPr>
                <w:vertAlign w:val="superscript"/>
              </w:rPr>
              <w:t>2</w:t>
            </w:r>
          </w:p>
        </w:tc>
      </w:tr>
      <w:tr w:rsidR="00DA3150" w:rsidRPr="004F28D5" w:rsidTr="00A32B10">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GVA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rPr>
                <w:b/>
              </w:rPr>
            </w:pPr>
            <w:r w:rsidRPr="004F28D5">
              <w:rPr>
                <w:b/>
              </w:rPr>
              <w:t>£17m</w:t>
            </w:r>
          </w:p>
        </w:tc>
        <w:tc>
          <w:tcPr>
            <w:tcW w:w="1843" w:type="dxa"/>
            <w:tcBorders>
              <w:top w:val="single" w:sz="8" w:space="0" w:color="auto"/>
              <w:left w:val="single" w:sz="8" w:space="0" w:color="auto"/>
              <w:bottom w:val="single" w:sz="8" w:space="0" w:color="auto"/>
              <w:right w:val="single" w:sz="8" w:space="0" w:color="auto"/>
            </w:tcBorders>
          </w:tcPr>
          <w:p w:rsidR="00311D59" w:rsidRPr="004F28D5" w:rsidRDefault="004F28D5" w:rsidP="00A32B10">
            <w:pPr>
              <w:pStyle w:val="PlainText"/>
            </w:pPr>
            <w:r w:rsidRPr="004F28D5">
              <w:t>£236m</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D59" w:rsidRPr="004F28D5" w:rsidRDefault="004F28D5" w:rsidP="00A32B10">
            <w:pPr>
              <w:pStyle w:val="PlainText"/>
            </w:pPr>
            <w:r w:rsidRPr="004F28D5">
              <w:t>£414.7m</w:t>
            </w:r>
          </w:p>
        </w:tc>
      </w:tr>
    </w:tbl>
    <w:p w:rsidR="00311D59" w:rsidRDefault="00F27974" w:rsidP="00A8195B">
      <w:pPr>
        <w:autoSpaceDE w:val="0"/>
        <w:autoSpaceDN w:val="0"/>
        <w:adjustRightInd w:val="0"/>
        <w:spacing w:after="0" w:line="240" w:lineRule="auto"/>
        <w:ind w:left="0" w:firstLine="0"/>
        <w:jc w:val="both"/>
      </w:pPr>
    </w:p>
    <w:p w:rsidR="002471A0" w:rsidRDefault="00F27974" w:rsidP="00520792">
      <w:pPr>
        <w:ind w:left="0" w:firstLine="0"/>
        <w:jc w:val="both"/>
      </w:pPr>
    </w:p>
    <w:p w:rsidR="0032092C" w:rsidRPr="00ED571D" w:rsidRDefault="004F28D5" w:rsidP="0032092C">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32092C" w:rsidRPr="00ED571D" w:rsidRDefault="00F27974" w:rsidP="0032092C"/>
    <w:tbl>
      <w:tblPr>
        <w:tblW w:w="0" w:type="auto"/>
        <w:tblLayout w:type="fixed"/>
        <w:tblLook w:val="0000" w:firstRow="0" w:lastRow="0" w:firstColumn="0" w:lastColumn="0" w:noHBand="0" w:noVBand="0"/>
      </w:tblPr>
      <w:tblGrid>
        <w:gridCol w:w="3510"/>
        <w:gridCol w:w="2492"/>
        <w:gridCol w:w="3178"/>
      </w:tblGrid>
      <w:tr w:rsidR="00DA3150" w:rsidTr="00331DDF">
        <w:tc>
          <w:tcPr>
            <w:tcW w:w="3510" w:type="dxa"/>
          </w:tcPr>
          <w:p w:rsidR="0032092C" w:rsidRPr="00ED571D" w:rsidRDefault="004F28D5"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32092C" w:rsidRPr="00ED571D" w:rsidRDefault="004F28D5"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32092C" w:rsidRPr="00ED571D" w:rsidRDefault="004F28D5"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DA3150" w:rsidTr="00331DDF">
        <w:tc>
          <w:tcPr>
            <w:tcW w:w="3510" w:type="dxa"/>
          </w:tcPr>
          <w:p w:rsidR="0032092C" w:rsidRPr="00ED571D" w:rsidRDefault="00F27974" w:rsidP="00331DDF">
            <w:pPr>
              <w:rPr>
                <w:color w:val="auto"/>
              </w:rPr>
            </w:pPr>
          </w:p>
          <w:p w:rsidR="0032092C" w:rsidRDefault="004F28D5" w:rsidP="0036303B">
            <w:pPr>
              <w:rPr>
                <w:color w:val="auto"/>
              </w:rPr>
            </w:pPr>
            <w:r>
              <w:rPr>
                <w:color w:val="auto"/>
              </w:rPr>
              <w:t>None</w:t>
            </w:r>
          </w:p>
          <w:p w:rsidR="0036303B" w:rsidRPr="00ED571D" w:rsidRDefault="00F27974" w:rsidP="0036303B">
            <w:pPr>
              <w:rPr>
                <w:color w:val="auto"/>
              </w:rPr>
            </w:pPr>
          </w:p>
        </w:tc>
        <w:tc>
          <w:tcPr>
            <w:tcW w:w="2492" w:type="dxa"/>
          </w:tcPr>
          <w:p w:rsidR="0032092C" w:rsidRPr="00ED571D" w:rsidRDefault="00F27974" w:rsidP="00331DDF">
            <w:pPr>
              <w:rPr>
                <w:color w:val="auto"/>
              </w:rPr>
            </w:pPr>
          </w:p>
        </w:tc>
        <w:tc>
          <w:tcPr>
            <w:tcW w:w="3178" w:type="dxa"/>
          </w:tcPr>
          <w:p w:rsidR="0032092C" w:rsidRPr="00ED571D" w:rsidRDefault="00F27974" w:rsidP="00331DDF">
            <w:pPr>
              <w:rPr>
                <w:color w:val="auto"/>
              </w:rPr>
            </w:pPr>
          </w:p>
        </w:tc>
      </w:tr>
      <w:tr w:rsidR="00DA3150" w:rsidTr="00331DDF">
        <w:trPr>
          <w:cantSplit/>
        </w:trPr>
        <w:tc>
          <w:tcPr>
            <w:tcW w:w="9180" w:type="dxa"/>
            <w:gridSpan w:val="3"/>
          </w:tcPr>
          <w:p w:rsidR="0032092C" w:rsidRPr="00ED571D" w:rsidRDefault="00F27974" w:rsidP="00331DDF"/>
          <w:p w:rsidR="0032092C" w:rsidRPr="00ED571D" w:rsidRDefault="004F28D5" w:rsidP="00331DDF">
            <w:r w:rsidRPr="00ED571D">
              <w:t xml:space="preserve">Reason for inclusion in Part II, if appropriate </w:t>
            </w:r>
          </w:p>
          <w:p w:rsidR="0032092C" w:rsidRPr="00ED571D" w:rsidRDefault="00F27974" w:rsidP="00331DDF"/>
          <w:p w:rsidR="0032092C" w:rsidRPr="00ED571D" w:rsidRDefault="004F28D5" w:rsidP="00331DDF">
            <w:pPr>
              <w:rPr>
                <w:color w:val="auto"/>
              </w:rPr>
            </w:pPr>
            <w:r>
              <w:rPr>
                <w:color w:val="auto"/>
              </w:rPr>
              <w:t>N/A</w:t>
            </w:r>
          </w:p>
          <w:p w:rsidR="0032092C" w:rsidRPr="00ED571D" w:rsidRDefault="00F27974" w:rsidP="00331DDF">
            <w:pPr>
              <w:jc w:val="both"/>
            </w:pPr>
          </w:p>
        </w:tc>
      </w:tr>
    </w:tbl>
    <w:p w:rsidR="0032092C" w:rsidRDefault="00F27974" w:rsidP="00A3358A">
      <w:pPr>
        <w:ind w:left="0" w:firstLine="0"/>
      </w:pPr>
    </w:p>
    <w:p w:rsidR="00386D34" w:rsidRDefault="00F27974"/>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FF" w:rsidRDefault="004F28D5">
      <w:pPr>
        <w:spacing w:after="0" w:line="240" w:lineRule="auto"/>
      </w:pPr>
      <w:r>
        <w:separator/>
      </w:r>
    </w:p>
  </w:endnote>
  <w:endnote w:type="continuationSeparator" w:id="0">
    <w:p w:rsidR="00CF71FF" w:rsidRDefault="004F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FF" w:rsidRDefault="004F28D5">
      <w:pPr>
        <w:spacing w:after="0" w:line="240" w:lineRule="auto"/>
      </w:pPr>
      <w:r>
        <w:separator/>
      </w:r>
    </w:p>
  </w:footnote>
  <w:footnote w:type="continuationSeparator" w:id="0">
    <w:p w:rsidR="00CF71FF" w:rsidRDefault="004F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F28D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7848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8692478"/>
    <w:multiLevelType w:val="hybridMultilevel"/>
    <w:tmpl w:val="A4EA4884"/>
    <w:lvl w:ilvl="0" w:tplc="4D0E6946">
      <w:start w:val="1"/>
      <w:numFmt w:val="decimal"/>
      <w:lvlText w:val="%1)"/>
      <w:lvlJc w:val="left"/>
      <w:pPr>
        <w:ind w:left="720" w:hanging="360"/>
      </w:pPr>
    </w:lvl>
    <w:lvl w:ilvl="1" w:tplc="1758E63E" w:tentative="1">
      <w:start w:val="1"/>
      <w:numFmt w:val="lowerLetter"/>
      <w:lvlText w:val="%2."/>
      <w:lvlJc w:val="left"/>
      <w:pPr>
        <w:ind w:left="1440" w:hanging="360"/>
      </w:pPr>
    </w:lvl>
    <w:lvl w:ilvl="2" w:tplc="96BC24B2" w:tentative="1">
      <w:start w:val="1"/>
      <w:numFmt w:val="lowerRoman"/>
      <w:lvlText w:val="%3."/>
      <w:lvlJc w:val="right"/>
      <w:pPr>
        <w:ind w:left="2160" w:hanging="180"/>
      </w:pPr>
    </w:lvl>
    <w:lvl w:ilvl="3" w:tplc="1FEAA00E" w:tentative="1">
      <w:start w:val="1"/>
      <w:numFmt w:val="decimal"/>
      <w:lvlText w:val="%4."/>
      <w:lvlJc w:val="left"/>
      <w:pPr>
        <w:ind w:left="2880" w:hanging="360"/>
      </w:pPr>
    </w:lvl>
    <w:lvl w:ilvl="4" w:tplc="C9764AB8" w:tentative="1">
      <w:start w:val="1"/>
      <w:numFmt w:val="lowerLetter"/>
      <w:lvlText w:val="%5."/>
      <w:lvlJc w:val="left"/>
      <w:pPr>
        <w:ind w:left="3600" w:hanging="360"/>
      </w:pPr>
    </w:lvl>
    <w:lvl w:ilvl="5" w:tplc="05E45F44" w:tentative="1">
      <w:start w:val="1"/>
      <w:numFmt w:val="lowerRoman"/>
      <w:lvlText w:val="%6."/>
      <w:lvlJc w:val="right"/>
      <w:pPr>
        <w:ind w:left="4320" w:hanging="180"/>
      </w:pPr>
    </w:lvl>
    <w:lvl w:ilvl="6" w:tplc="1C2AFC4E" w:tentative="1">
      <w:start w:val="1"/>
      <w:numFmt w:val="decimal"/>
      <w:lvlText w:val="%7."/>
      <w:lvlJc w:val="left"/>
      <w:pPr>
        <w:ind w:left="5040" w:hanging="360"/>
      </w:pPr>
    </w:lvl>
    <w:lvl w:ilvl="7" w:tplc="D5163668" w:tentative="1">
      <w:start w:val="1"/>
      <w:numFmt w:val="lowerLetter"/>
      <w:lvlText w:val="%8."/>
      <w:lvlJc w:val="left"/>
      <w:pPr>
        <w:ind w:left="5760" w:hanging="360"/>
      </w:pPr>
    </w:lvl>
    <w:lvl w:ilvl="8" w:tplc="979CC3DC"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EB8CE34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D64C1B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666764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32AD69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A52AAC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BEA45B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B0CAF9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F66C71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2DA9AF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7AD7894"/>
    <w:multiLevelType w:val="hybridMultilevel"/>
    <w:tmpl w:val="4D6A5614"/>
    <w:lvl w:ilvl="0" w:tplc="68CCFB0C">
      <w:start w:val="1"/>
      <w:numFmt w:val="decimal"/>
      <w:lvlText w:val="%1."/>
      <w:lvlJc w:val="left"/>
      <w:pPr>
        <w:ind w:left="720" w:hanging="360"/>
      </w:pPr>
    </w:lvl>
    <w:lvl w:ilvl="1" w:tplc="BD224C98" w:tentative="1">
      <w:start w:val="1"/>
      <w:numFmt w:val="lowerLetter"/>
      <w:lvlText w:val="%2."/>
      <w:lvlJc w:val="left"/>
      <w:pPr>
        <w:ind w:left="1440" w:hanging="360"/>
      </w:pPr>
    </w:lvl>
    <w:lvl w:ilvl="2" w:tplc="EDFA175A" w:tentative="1">
      <w:start w:val="1"/>
      <w:numFmt w:val="lowerRoman"/>
      <w:lvlText w:val="%3."/>
      <w:lvlJc w:val="right"/>
      <w:pPr>
        <w:ind w:left="2160" w:hanging="180"/>
      </w:pPr>
    </w:lvl>
    <w:lvl w:ilvl="3" w:tplc="48EC1A7E" w:tentative="1">
      <w:start w:val="1"/>
      <w:numFmt w:val="decimal"/>
      <w:lvlText w:val="%4."/>
      <w:lvlJc w:val="left"/>
      <w:pPr>
        <w:ind w:left="2880" w:hanging="360"/>
      </w:pPr>
    </w:lvl>
    <w:lvl w:ilvl="4" w:tplc="BBCE7396" w:tentative="1">
      <w:start w:val="1"/>
      <w:numFmt w:val="lowerLetter"/>
      <w:lvlText w:val="%5."/>
      <w:lvlJc w:val="left"/>
      <w:pPr>
        <w:ind w:left="3600" w:hanging="360"/>
      </w:pPr>
    </w:lvl>
    <w:lvl w:ilvl="5" w:tplc="9F1C96A8" w:tentative="1">
      <w:start w:val="1"/>
      <w:numFmt w:val="lowerRoman"/>
      <w:lvlText w:val="%6."/>
      <w:lvlJc w:val="right"/>
      <w:pPr>
        <w:ind w:left="4320" w:hanging="180"/>
      </w:pPr>
    </w:lvl>
    <w:lvl w:ilvl="6" w:tplc="36827694" w:tentative="1">
      <w:start w:val="1"/>
      <w:numFmt w:val="decimal"/>
      <w:lvlText w:val="%7."/>
      <w:lvlJc w:val="left"/>
      <w:pPr>
        <w:ind w:left="5040" w:hanging="360"/>
      </w:pPr>
    </w:lvl>
    <w:lvl w:ilvl="7" w:tplc="7F78B0DE" w:tentative="1">
      <w:start w:val="1"/>
      <w:numFmt w:val="lowerLetter"/>
      <w:lvlText w:val="%8."/>
      <w:lvlJc w:val="left"/>
      <w:pPr>
        <w:ind w:left="5760" w:hanging="360"/>
      </w:pPr>
    </w:lvl>
    <w:lvl w:ilvl="8" w:tplc="E2E64D50"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FB81C62"/>
    <w:multiLevelType w:val="hybridMultilevel"/>
    <w:tmpl w:val="3CBA2FCE"/>
    <w:lvl w:ilvl="0" w:tplc="1D26A292">
      <w:start w:val="1"/>
      <w:numFmt w:val="decimal"/>
      <w:lvlText w:val="%1."/>
      <w:lvlJc w:val="left"/>
      <w:pPr>
        <w:ind w:left="720" w:hanging="360"/>
      </w:pPr>
    </w:lvl>
    <w:lvl w:ilvl="1" w:tplc="428C64D4" w:tentative="1">
      <w:start w:val="1"/>
      <w:numFmt w:val="lowerLetter"/>
      <w:lvlText w:val="%2."/>
      <w:lvlJc w:val="left"/>
      <w:pPr>
        <w:ind w:left="1440" w:hanging="360"/>
      </w:pPr>
    </w:lvl>
    <w:lvl w:ilvl="2" w:tplc="840AEAF0" w:tentative="1">
      <w:start w:val="1"/>
      <w:numFmt w:val="lowerRoman"/>
      <w:lvlText w:val="%3."/>
      <w:lvlJc w:val="right"/>
      <w:pPr>
        <w:ind w:left="2160" w:hanging="180"/>
      </w:pPr>
    </w:lvl>
    <w:lvl w:ilvl="3" w:tplc="8F786B10" w:tentative="1">
      <w:start w:val="1"/>
      <w:numFmt w:val="decimal"/>
      <w:lvlText w:val="%4."/>
      <w:lvlJc w:val="left"/>
      <w:pPr>
        <w:ind w:left="2880" w:hanging="360"/>
      </w:pPr>
    </w:lvl>
    <w:lvl w:ilvl="4" w:tplc="CB9A565E" w:tentative="1">
      <w:start w:val="1"/>
      <w:numFmt w:val="lowerLetter"/>
      <w:lvlText w:val="%5."/>
      <w:lvlJc w:val="left"/>
      <w:pPr>
        <w:ind w:left="3600" w:hanging="360"/>
      </w:pPr>
    </w:lvl>
    <w:lvl w:ilvl="5" w:tplc="BD8E891C" w:tentative="1">
      <w:start w:val="1"/>
      <w:numFmt w:val="lowerRoman"/>
      <w:lvlText w:val="%6."/>
      <w:lvlJc w:val="right"/>
      <w:pPr>
        <w:ind w:left="4320" w:hanging="180"/>
      </w:pPr>
    </w:lvl>
    <w:lvl w:ilvl="6" w:tplc="99A2521A" w:tentative="1">
      <w:start w:val="1"/>
      <w:numFmt w:val="decimal"/>
      <w:lvlText w:val="%7."/>
      <w:lvlJc w:val="left"/>
      <w:pPr>
        <w:ind w:left="5040" w:hanging="360"/>
      </w:pPr>
    </w:lvl>
    <w:lvl w:ilvl="7" w:tplc="317A5F26" w:tentative="1">
      <w:start w:val="1"/>
      <w:numFmt w:val="lowerLetter"/>
      <w:lvlText w:val="%8."/>
      <w:lvlJc w:val="left"/>
      <w:pPr>
        <w:ind w:left="5760" w:hanging="360"/>
      </w:pPr>
    </w:lvl>
    <w:lvl w:ilvl="8" w:tplc="D220B754" w:tentative="1">
      <w:start w:val="1"/>
      <w:numFmt w:val="lowerRoman"/>
      <w:lvlText w:val="%9."/>
      <w:lvlJc w:val="right"/>
      <w:pPr>
        <w:ind w:left="6480" w:hanging="180"/>
      </w:pPr>
    </w:lvl>
  </w:abstractNum>
  <w:abstractNum w:abstractNumId="6" w15:restartNumberingAfterBreak="0">
    <w:nsid w:val="68EC706E"/>
    <w:multiLevelType w:val="hybridMultilevel"/>
    <w:tmpl w:val="EC7E5248"/>
    <w:lvl w:ilvl="0" w:tplc="DF3828EE">
      <w:start w:val="1"/>
      <w:numFmt w:val="decimal"/>
      <w:lvlText w:val="%1)"/>
      <w:lvlJc w:val="left"/>
      <w:pPr>
        <w:ind w:left="720" w:hanging="360"/>
      </w:pPr>
    </w:lvl>
    <w:lvl w:ilvl="1" w:tplc="9716B504" w:tentative="1">
      <w:start w:val="1"/>
      <w:numFmt w:val="lowerLetter"/>
      <w:lvlText w:val="%2."/>
      <w:lvlJc w:val="left"/>
      <w:pPr>
        <w:ind w:left="1440" w:hanging="360"/>
      </w:pPr>
    </w:lvl>
    <w:lvl w:ilvl="2" w:tplc="F6CC9FEA" w:tentative="1">
      <w:start w:val="1"/>
      <w:numFmt w:val="lowerRoman"/>
      <w:lvlText w:val="%3."/>
      <w:lvlJc w:val="right"/>
      <w:pPr>
        <w:ind w:left="2160" w:hanging="180"/>
      </w:pPr>
    </w:lvl>
    <w:lvl w:ilvl="3" w:tplc="7F0C6300" w:tentative="1">
      <w:start w:val="1"/>
      <w:numFmt w:val="decimal"/>
      <w:lvlText w:val="%4."/>
      <w:lvlJc w:val="left"/>
      <w:pPr>
        <w:ind w:left="2880" w:hanging="360"/>
      </w:pPr>
    </w:lvl>
    <w:lvl w:ilvl="4" w:tplc="7C28A3EC" w:tentative="1">
      <w:start w:val="1"/>
      <w:numFmt w:val="lowerLetter"/>
      <w:lvlText w:val="%5."/>
      <w:lvlJc w:val="left"/>
      <w:pPr>
        <w:ind w:left="3600" w:hanging="360"/>
      </w:pPr>
    </w:lvl>
    <w:lvl w:ilvl="5" w:tplc="2D3CBAE8" w:tentative="1">
      <w:start w:val="1"/>
      <w:numFmt w:val="lowerRoman"/>
      <w:lvlText w:val="%6."/>
      <w:lvlJc w:val="right"/>
      <w:pPr>
        <w:ind w:left="4320" w:hanging="180"/>
      </w:pPr>
    </w:lvl>
    <w:lvl w:ilvl="6" w:tplc="0C407424" w:tentative="1">
      <w:start w:val="1"/>
      <w:numFmt w:val="decimal"/>
      <w:lvlText w:val="%7."/>
      <w:lvlJc w:val="left"/>
      <w:pPr>
        <w:ind w:left="5040" w:hanging="360"/>
      </w:pPr>
    </w:lvl>
    <w:lvl w:ilvl="7" w:tplc="2410EA9E" w:tentative="1">
      <w:start w:val="1"/>
      <w:numFmt w:val="lowerLetter"/>
      <w:lvlText w:val="%8."/>
      <w:lvlJc w:val="left"/>
      <w:pPr>
        <w:ind w:left="5760" w:hanging="360"/>
      </w:pPr>
    </w:lvl>
    <w:lvl w:ilvl="8" w:tplc="33582EE2" w:tentative="1">
      <w:start w:val="1"/>
      <w:numFmt w:val="lowerRoman"/>
      <w:lvlText w:val="%9."/>
      <w:lvlJc w:val="right"/>
      <w:pPr>
        <w:ind w:left="6480" w:hanging="180"/>
      </w:pPr>
    </w:lvl>
  </w:abstractNum>
  <w:abstractNum w:abstractNumId="7" w15:restartNumberingAfterBreak="0">
    <w:nsid w:val="6C3D2DA1"/>
    <w:multiLevelType w:val="hybridMultilevel"/>
    <w:tmpl w:val="4BB48E26"/>
    <w:lvl w:ilvl="0" w:tplc="4FAE4BE4">
      <w:start w:val="1"/>
      <w:numFmt w:val="decimal"/>
      <w:lvlText w:val="%1."/>
      <w:lvlJc w:val="left"/>
      <w:pPr>
        <w:ind w:left="720" w:hanging="360"/>
      </w:pPr>
    </w:lvl>
    <w:lvl w:ilvl="1" w:tplc="D66A2528" w:tentative="1">
      <w:start w:val="1"/>
      <w:numFmt w:val="lowerLetter"/>
      <w:lvlText w:val="%2."/>
      <w:lvlJc w:val="left"/>
      <w:pPr>
        <w:ind w:left="1440" w:hanging="360"/>
      </w:pPr>
    </w:lvl>
    <w:lvl w:ilvl="2" w:tplc="CC567F02" w:tentative="1">
      <w:start w:val="1"/>
      <w:numFmt w:val="lowerRoman"/>
      <w:lvlText w:val="%3."/>
      <w:lvlJc w:val="right"/>
      <w:pPr>
        <w:ind w:left="2160" w:hanging="180"/>
      </w:pPr>
    </w:lvl>
    <w:lvl w:ilvl="3" w:tplc="E8F000C8" w:tentative="1">
      <w:start w:val="1"/>
      <w:numFmt w:val="decimal"/>
      <w:lvlText w:val="%4."/>
      <w:lvlJc w:val="left"/>
      <w:pPr>
        <w:ind w:left="2880" w:hanging="360"/>
      </w:pPr>
    </w:lvl>
    <w:lvl w:ilvl="4" w:tplc="4F5E543E" w:tentative="1">
      <w:start w:val="1"/>
      <w:numFmt w:val="lowerLetter"/>
      <w:lvlText w:val="%5."/>
      <w:lvlJc w:val="left"/>
      <w:pPr>
        <w:ind w:left="3600" w:hanging="360"/>
      </w:pPr>
    </w:lvl>
    <w:lvl w:ilvl="5" w:tplc="230A939C" w:tentative="1">
      <w:start w:val="1"/>
      <w:numFmt w:val="lowerRoman"/>
      <w:lvlText w:val="%6."/>
      <w:lvlJc w:val="right"/>
      <w:pPr>
        <w:ind w:left="4320" w:hanging="180"/>
      </w:pPr>
    </w:lvl>
    <w:lvl w:ilvl="6" w:tplc="58F4DC32" w:tentative="1">
      <w:start w:val="1"/>
      <w:numFmt w:val="decimal"/>
      <w:lvlText w:val="%7."/>
      <w:lvlJc w:val="left"/>
      <w:pPr>
        <w:ind w:left="5040" w:hanging="360"/>
      </w:pPr>
    </w:lvl>
    <w:lvl w:ilvl="7" w:tplc="08840400" w:tentative="1">
      <w:start w:val="1"/>
      <w:numFmt w:val="lowerLetter"/>
      <w:lvlText w:val="%8."/>
      <w:lvlJc w:val="left"/>
      <w:pPr>
        <w:ind w:left="5760" w:hanging="360"/>
      </w:pPr>
    </w:lvl>
    <w:lvl w:ilvl="8" w:tplc="D1100EE2" w:tentative="1">
      <w:start w:val="1"/>
      <w:numFmt w:val="lowerRoman"/>
      <w:lvlText w:val="%9."/>
      <w:lvlJc w:val="right"/>
      <w:pPr>
        <w:ind w:left="6480" w:hanging="180"/>
      </w:pPr>
    </w:lvl>
  </w:abstractNum>
  <w:abstractNum w:abstractNumId="8" w15:restartNumberingAfterBreak="0">
    <w:nsid w:val="7BBA536E"/>
    <w:multiLevelType w:val="hybridMultilevel"/>
    <w:tmpl w:val="E1028D94"/>
    <w:lvl w:ilvl="0" w:tplc="4028CDBA">
      <w:start w:val="1"/>
      <w:numFmt w:val="bullet"/>
      <w:lvlText w:val=""/>
      <w:lvlJc w:val="left"/>
      <w:pPr>
        <w:ind w:left="1080" w:hanging="360"/>
      </w:pPr>
      <w:rPr>
        <w:rFonts w:ascii="Symbol" w:hAnsi="Symbol" w:hint="default"/>
      </w:rPr>
    </w:lvl>
    <w:lvl w:ilvl="1" w:tplc="F7D658E0" w:tentative="1">
      <w:start w:val="1"/>
      <w:numFmt w:val="bullet"/>
      <w:lvlText w:val="o"/>
      <w:lvlJc w:val="left"/>
      <w:pPr>
        <w:ind w:left="1800" w:hanging="360"/>
      </w:pPr>
      <w:rPr>
        <w:rFonts w:ascii="Courier New" w:hAnsi="Courier New" w:cs="Courier New" w:hint="default"/>
      </w:rPr>
    </w:lvl>
    <w:lvl w:ilvl="2" w:tplc="238E60E2" w:tentative="1">
      <w:start w:val="1"/>
      <w:numFmt w:val="bullet"/>
      <w:lvlText w:val=""/>
      <w:lvlJc w:val="left"/>
      <w:pPr>
        <w:ind w:left="2520" w:hanging="360"/>
      </w:pPr>
      <w:rPr>
        <w:rFonts w:ascii="Wingdings" w:hAnsi="Wingdings" w:hint="default"/>
      </w:rPr>
    </w:lvl>
    <w:lvl w:ilvl="3" w:tplc="23AA7754" w:tentative="1">
      <w:start w:val="1"/>
      <w:numFmt w:val="bullet"/>
      <w:lvlText w:val=""/>
      <w:lvlJc w:val="left"/>
      <w:pPr>
        <w:ind w:left="3240" w:hanging="360"/>
      </w:pPr>
      <w:rPr>
        <w:rFonts w:ascii="Symbol" w:hAnsi="Symbol" w:hint="default"/>
      </w:rPr>
    </w:lvl>
    <w:lvl w:ilvl="4" w:tplc="33688144" w:tentative="1">
      <w:start w:val="1"/>
      <w:numFmt w:val="bullet"/>
      <w:lvlText w:val="o"/>
      <w:lvlJc w:val="left"/>
      <w:pPr>
        <w:ind w:left="3960" w:hanging="360"/>
      </w:pPr>
      <w:rPr>
        <w:rFonts w:ascii="Courier New" w:hAnsi="Courier New" w:cs="Courier New" w:hint="default"/>
      </w:rPr>
    </w:lvl>
    <w:lvl w:ilvl="5" w:tplc="8636492E" w:tentative="1">
      <w:start w:val="1"/>
      <w:numFmt w:val="bullet"/>
      <w:lvlText w:val=""/>
      <w:lvlJc w:val="left"/>
      <w:pPr>
        <w:ind w:left="4680" w:hanging="360"/>
      </w:pPr>
      <w:rPr>
        <w:rFonts w:ascii="Wingdings" w:hAnsi="Wingdings" w:hint="default"/>
      </w:rPr>
    </w:lvl>
    <w:lvl w:ilvl="6" w:tplc="F8CE8C3E" w:tentative="1">
      <w:start w:val="1"/>
      <w:numFmt w:val="bullet"/>
      <w:lvlText w:val=""/>
      <w:lvlJc w:val="left"/>
      <w:pPr>
        <w:ind w:left="5400" w:hanging="360"/>
      </w:pPr>
      <w:rPr>
        <w:rFonts w:ascii="Symbol" w:hAnsi="Symbol" w:hint="default"/>
      </w:rPr>
    </w:lvl>
    <w:lvl w:ilvl="7" w:tplc="8EF82B0E" w:tentative="1">
      <w:start w:val="1"/>
      <w:numFmt w:val="bullet"/>
      <w:lvlText w:val="o"/>
      <w:lvlJc w:val="left"/>
      <w:pPr>
        <w:ind w:left="6120" w:hanging="360"/>
      </w:pPr>
      <w:rPr>
        <w:rFonts w:ascii="Courier New" w:hAnsi="Courier New" w:cs="Courier New" w:hint="default"/>
      </w:rPr>
    </w:lvl>
    <w:lvl w:ilvl="8" w:tplc="1CFA0706"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50"/>
    <w:rsid w:val="004F28D5"/>
    <w:rsid w:val="009D5609"/>
    <w:rsid w:val="00CF71FF"/>
    <w:rsid w:val="00DA3150"/>
    <w:rsid w:val="00F2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3831A-0FAD-4437-87CB-080B942B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Para0">
    <w:name w:val="Para 0"/>
    <w:basedOn w:val="Normal"/>
    <w:uiPriority w:val="4"/>
    <w:qFormat/>
    <w:rsid w:val="002471A0"/>
    <w:pPr>
      <w:spacing w:before="240" w:after="120" w:line="240" w:lineRule="atLeast"/>
      <w:ind w:left="0" w:firstLine="0"/>
    </w:pPr>
    <w:rPr>
      <w:rFonts w:eastAsia="Times New Roman" w:cs="Times New Roman"/>
      <w:sz w:val="20"/>
      <w:szCs w:val="20"/>
      <w:lang w:eastAsia="en-US"/>
    </w:rPr>
  </w:style>
  <w:style w:type="paragraph" w:styleId="Caption">
    <w:name w:val="caption"/>
    <w:basedOn w:val="Normal"/>
    <w:next w:val="Para0"/>
    <w:uiPriority w:val="35"/>
    <w:qFormat/>
    <w:rsid w:val="00311D59"/>
    <w:pPr>
      <w:keepNext/>
      <w:spacing w:before="240" w:after="100" w:line="240" w:lineRule="atLeast"/>
      <w:ind w:left="0" w:firstLine="0"/>
    </w:pPr>
    <w:rPr>
      <w:rFonts w:eastAsiaTheme="minorEastAsia" w:cstheme="minorBidi"/>
      <w:b/>
      <w:color w:val="auto"/>
      <w:sz w:val="20"/>
      <w:lang w:eastAsia="en-US"/>
    </w:rPr>
  </w:style>
  <w:style w:type="paragraph" w:styleId="PlainText">
    <w:name w:val="Plain Text"/>
    <w:basedOn w:val="Normal"/>
    <w:link w:val="PlainTextChar"/>
    <w:uiPriority w:val="99"/>
    <w:unhideWhenUsed/>
    <w:rsid w:val="00311D59"/>
    <w:pPr>
      <w:spacing w:after="0" w:line="240" w:lineRule="auto"/>
      <w:ind w:left="0" w:firstLine="0"/>
    </w:pPr>
    <w:rPr>
      <w:rFonts w:ascii="Calibri" w:hAnsi="Calibri" w:cs="Times New Roman"/>
      <w:color w:val="auto"/>
      <w:sz w:val="22"/>
      <w:szCs w:val="22"/>
      <w:lang w:eastAsia="en-US"/>
    </w:rPr>
  </w:style>
  <w:style w:type="character" w:customStyle="1" w:styleId="PlainTextChar">
    <w:name w:val="Plain Text Char"/>
    <w:basedOn w:val="DefaultParagraphFont"/>
    <w:link w:val="PlainText"/>
    <w:uiPriority w:val="99"/>
    <w:rsid w:val="00311D59"/>
    <w:rPr>
      <w:rFonts w:ascii="Calibri" w:eastAsia="Calibri" w:hAnsi="Calibri" w:cs="Times New Roman"/>
    </w:rPr>
  </w:style>
  <w:style w:type="paragraph" w:styleId="BalloonText">
    <w:name w:val="Balloon Text"/>
    <w:basedOn w:val="Normal"/>
    <w:link w:val="BalloonTextChar"/>
    <w:uiPriority w:val="99"/>
    <w:semiHidden/>
    <w:unhideWhenUsed/>
    <w:rsid w:val="0019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35"/>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17608A"/>
    <w:rPr>
      <w:sz w:val="16"/>
      <w:szCs w:val="16"/>
    </w:rPr>
  </w:style>
  <w:style w:type="paragraph" w:styleId="CommentText">
    <w:name w:val="annotation text"/>
    <w:basedOn w:val="Normal"/>
    <w:link w:val="CommentTextChar"/>
    <w:uiPriority w:val="99"/>
    <w:semiHidden/>
    <w:unhideWhenUsed/>
    <w:rsid w:val="0017608A"/>
    <w:pPr>
      <w:spacing w:line="240" w:lineRule="auto"/>
    </w:pPr>
    <w:rPr>
      <w:sz w:val="20"/>
      <w:szCs w:val="20"/>
    </w:rPr>
  </w:style>
  <w:style w:type="character" w:customStyle="1" w:styleId="CommentTextChar">
    <w:name w:val="Comment Text Char"/>
    <w:basedOn w:val="DefaultParagraphFont"/>
    <w:link w:val="CommentText"/>
    <w:uiPriority w:val="99"/>
    <w:semiHidden/>
    <w:rsid w:val="0017608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7608A"/>
    <w:rPr>
      <w:b/>
      <w:bCs/>
    </w:rPr>
  </w:style>
  <w:style w:type="character" w:customStyle="1" w:styleId="CommentSubjectChar">
    <w:name w:val="Comment Subject Char"/>
    <w:basedOn w:val="CommentTextChar"/>
    <w:link w:val="CommentSubject"/>
    <w:uiPriority w:val="99"/>
    <w:semiHidden/>
    <w:rsid w:val="0017608A"/>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E368-4BA9-42E9-9794-246E65EA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20</cp:revision>
  <dcterms:created xsi:type="dcterms:W3CDTF">2015-06-25T10:41:00Z</dcterms:created>
  <dcterms:modified xsi:type="dcterms:W3CDTF">2019-01-02T15:38:00Z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North Blackburn Funding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16 January 2019</vt:lpwstr>
  </property>
</Properties>
</file>